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59" w:rsidRPr="000066E8" w:rsidRDefault="00823A59" w:rsidP="008545D1">
      <w:pPr>
        <w:pBdr>
          <w:top w:val="single" w:sz="4" w:space="1" w:color="auto"/>
          <w:left w:val="single" w:sz="4" w:space="4" w:color="auto"/>
          <w:bottom w:val="single" w:sz="4" w:space="1" w:color="auto"/>
          <w:right w:val="single" w:sz="4" w:space="4" w:color="auto"/>
        </w:pBdr>
        <w:rPr>
          <w:b/>
        </w:rPr>
      </w:pPr>
      <w:r w:rsidRPr="000066E8">
        <w:rPr>
          <w:b/>
        </w:rPr>
        <w:t>Start Here Go Places</w:t>
      </w:r>
    </w:p>
    <w:p w:rsidR="00823A59" w:rsidRDefault="001D426F">
      <w:hyperlink r:id="rId7" w:history="1">
        <w:r w:rsidR="00823A59" w:rsidRPr="008B052A">
          <w:rPr>
            <w:rStyle w:val="Hyperlink"/>
          </w:rPr>
          <w:t>http://www.startheregoplaces.com/</w:t>
        </w:r>
      </w:hyperlink>
      <w:bookmarkStart w:id="0" w:name="_GoBack"/>
      <w:bookmarkEnd w:id="0"/>
    </w:p>
    <w:p w:rsidR="00823A59" w:rsidRDefault="00823A59">
      <w:r>
        <w:t xml:space="preserve">Start with the link above, Start Here, Go Places.  This is the AICPA site.  AICPA stands for </w:t>
      </w:r>
      <w:r w:rsidRPr="000066E8">
        <w:rPr>
          <w:i/>
        </w:rPr>
        <w:t>American Institute of Certified Public Accountants</w:t>
      </w:r>
      <w:r>
        <w:t>.  Let’s learn about potential career opportunities and income potential!</w:t>
      </w:r>
    </w:p>
    <w:p w:rsidR="00823A59" w:rsidRPr="000066E8" w:rsidRDefault="00823A59">
      <w:pPr>
        <w:rPr>
          <w:b/>
          <w:u w:val="single"/>
        </w:rPr>
      </w:pPr>
      <w:r w:rsidRPr="000066E8">
        <w:rPr>
          <w:b/>
          <w:u w:val="single"/>
        </w:rPr>
        <w:t>Click</w:t>
      </w:r>
      <w:r w:rsidR="008545D1">
        <w:rPr>
          <w:b/>
          <w:u w:val="single"/>
        </w:rPr>
        <w:t xml:space="preserve"> Why Accounting? Then find, to the left, the</w:t>
      </w:r>
      <w:r w:rsidRPr="000066E8">
        <w:rPr>
          <w:b/>
          <w:u w:val="single"/>
        </w:rPr>
        <w:t xml:space="preserve"> View Salary Snapshot button:</w:t>
      </w:r>
    </w:p>
    <w:p w:rsidR="00823A59" w:rsidRDefault="00823A59">
      <w:r>
        <w:t>Click on an interest area and see the white figures of people that appear.  Click over each “person” and record in the table below the info. (You may not use all the rows, as each industry area has a different number of “people”.  Fill in the rows for the number of people present in your category.  List your category here:________________________________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3420"/>
        <w:gridCol w:w="2718"/>
      </w:tblGrid>
      <w:tr w:rsidR="00823A59" w:rsidRPr="00054A4F" w:rsidTr="00054A4F">
        <w:tc>
          <w:tcPr>
            <w:tcW w:w="3438" w:type="dxa"/>
          </w:tcPr>
          <w:p w:rsidR="00823A59" w:rsidRPr="00054A4F" w:rsidRDefault="00823A59" w:rsidP="00054A4F">
            <w:pPr>
              <w:spacing w:after="0" w:line="240" w:lineRule="auto"/>
              <w:rPr>
                <w:b/>
              </w:rPr>
            </w:pPr>
            <w:r w:rsidRPr="00054A4F">
              <w:rPr>
                <w:b/>
              </w:rPr>
              <w:t>Job Title</w:t>
            </w:r>
          </w:p>
        </w:tc>
        <w:tc>
          <w:tcPr>
            <w:tcW w:w="3420" w:type="dxa"/>
          </w:tcPr>
          <w:p w:rsidR="00823A59" w:rsidRPr="00054A4F" w:rsidRDefault="00823A59" w:rsidP="00054A4F">
            <w:pPr>
              <w:spacing w:after="0" w:line="240" w:lineRule="auto"/>
              <w:rPr>
                <w:b/>
              </w:rPr>
            </w:pPr>
            <w:r w:rsidRPr="00054A4F">
              <w:rPr>
                <w:b/>
              </w:rPr>
              <w:t>Job Location (Setting)</w:t>
            </w:r>
          </w:p>
        </w:tc>
        <w:tc>
          <w:tcPr>
            <w:tcW w:w="2718" w:type="dxa"/>
          </w:tcPr>
          <w:p w:rsidR="00823A59" w:rsidRPr="00054A4F" w:rsidRDefault="00823A59" w:rsidP="00054A4F">
            <w:pPr>
              <w:spacing w:after="0" w:line="240" w:lineRule="auto"/>
              <w:rPr>
                <w:b/>
              </w:rPr>
            </w:pPr>
            <w:r w:rsidRPr="00054A4F">
              <w:rPr>
                <w:b/>
              </w:rPr>
              <w:t>Salary</w:t>
            </w:r>
          </w:p>
        </w:tc>
      </w:tr>
      <w:tr w:rsidR="00823A59" w:rsidRPr="00054A4F" w:rsidTr="00054A4F">
        <w:tc>
          <w:tcPr>
            <w:tcW w:w="3438" w:type="dxa"/>
          </w:tcPr>
          <w:p w:rsidR="00823A59" w:rsidRPr="00054A4F" w:rsidRDefault="00823A59" w:rsidP="00054A4F">
            <w:pPr>
              <w:spacing w:after="0" w:line="240" w:lineRule="auto"/>
            </w:pPr>
            <w:r w:rsidRPr="00054A4F">
              <w:t>i.e. Director of Finance</w:t>
            </w:r>
          </w:p>
        </w:tc>
        <w:tc>
          <w:tcPr>
            <w:tcW w:w="3420" w:type="dxa"/>
          </w:tcPr>
          <w:p w:rsidR="00823A59" w:rsidRPr="00054A4F" w:rsidRDefault="00823A59" w:rsidP="00054A4F">
            <w:pPr>
              <w:spacing w:after="0" w:line="240" w:lineRule="auto"/>
            </w:pPr>
            <w:r w:rsidRPr="00054A4F">
              <w:t>Dolphins Stadium</w:t>
            </w:r>
          </w:p>
        </w:tc>
        <w:tc>
          <w:tcPr>
            <w:tcW w:w="2718" w:type="dxa"/>
          </w:tcPr>
          <w:p w:rsidR="00823A59" w:rsidRPr="00054A4F" w:rsidRDefault="00823A59" w:rsidP="00054A4F">
            <w:pPr>
              <w:spacing w:after="0" w:line="240" w:lineRule="auto"/>
            </w:pPr>
            <w:r w:rsidRPr="00054A4F">
              <w:t>$111,100-150,975</w:t>
            </w:r>
          </w:p>
        </w:tc>
      </w:tr>
      <w:tr w:rsidR="00823A59" w:rsidRPr="00054A4F" w:rsidTr="00054A4F">
        <w:tc>
          <w:tcPr>
            <w:tcW w:w="3438" w:type="dxa"/>
          </w:tcPr>
          <w:p w:rsidR="00823A59" w:rsidRPr="00054A4F" w:rsidRDefault="00823A59" w:rsidP="00054A4F">
            <w:pPr>
              <w:spacing w:after="0" w:line="240" w:lineRule="auto"/>
            </w:pPr>
            <w:r w:rsidRPr="00054A4F">
              <w:t>1.</w:t>
            </w:r>
          </w:p>
        </w:tc>
        <w:tc>
          <w:tcPr>
            <w:tcW w:w="3420" w:type="dxa"/>
          </w:tcPr>
          <w:p w:rsidR="00823A59" w:rsidRPr="00054A4F" w:rsidRDefault="00823A59" w:rsidP="00054A4F">
            <w:pPr>
              <w:spacing w:after="0" w:line="240" w:lineRule="auto"/>
            </w:pPr>
          </w:p>
        </w:tc>
        <w:tc>
          <w:tcPr>
            <w:tcW w:w="2718" w:type="dxa"/>
          </w:tcPr>
          <w:p w:rsidR="00823A59" w:rsidRPr="00054A4F" w:rsidRDefault="00823A59" w:rsidP="00054A4F">
            <w:pPr>
              <w:spacing w:after="0" w:line="240" w:lineRule="auto"/>
            </w:pPr>
          </w:p>
        </w:tc>
      </w:tr>
      <w:tr w:rsidR="00823A59" w:rsidRPr="00054A4F" w:rsidTr="00054A4F">
        <w:tc>
          <w:tcPr>
            <w:tcW w:w="3438" w:type="dxa"/>
          </w:tcPr>
          <w:p w:rsidR="00823A59" w:rsidRPr="00054A4F" w:rsidRDefault="00823A59" w:rsidP="00054A4F">
            <w:pPr>
              <w:spacing w:after="0" w:line="240" w:lineRule="auto"/>
            </w:pPr>
            <w:r w:rsidRPr="00054A4F">
              <w:t>2.</w:t>
            </w:r>
          </w:p>
        </w:tc>
        <w:tc>
          <w:tcPr>
            <w:tcW w:w="3420" w:type="dxa"/>
          </w:tcPr>
          <w:p w:rsidR="00823A59" w:rsidRPr="00054A4F" w:rsidRDefault="00823A59" w:rsidP="00054A4F">
            <w:pPr>
              <w:spacing w:after="0" w:line="240" w:lineRule="auto"/>
            </w:pPr>
          </w:p>
        </w:tc>
        <w:tc>
          <w:tcPr>
            <w:tcW w:w="2718" w:type="dxa"/>
          </w:tcPr>
          <w:p w:rsidR="00823A59" w:rsidRPr="00054A4F" w:rsidRDefault="00823A59" w:rsidP="00054A4F">
            <w:pPr>
              <w:spacing w:after="0" w:line="240" w:lineRule="auto"/>
            </w:pPr>
          </w:p>
        </w:tc>
      </w:tr>
      <w:tr w:rsidR="00823A59" w:rsidRPr="00054A4F" w:rsidTr="00054A4F">
        <w:tc>
          <w:tcPr>
            <w:tcW w:w="3438" w:type="dxa"/>
          </w:tcPr>
          <w:p w:rsidR="00823A59" w:rsidRPr="00054A4F" w:rsidRDefault="00823A59" w:rsidP="00054A4F">
            <w:pPr>
              <w:spacing w:after="0" w:line="240" w:lineRule="auto"/>
            </w:pPr>
            <w:r w:rsidRPr="00054A4F">
              <w:t>3.</w:t>
            </w:r>
          </w:p>
        </w:tc>
        <w:tc>
          <w:tcPr>
            <w:tcW w:w="3420" w:type="dxa"/>
          </w:tcPr>
          <w:p w:rsidR="00823A59" w:rsidRPr="00054A4F" w:rsidRDefault="00823A59" w:rsidP="00054A4F">
            <w:pPr>
              <w:spacing w:after="0" w:line="240" w:lineRule="auto"/>
            </w:pPr>
          </w:p>
        </w:tc>
        <w:tc>
          <w:tcPr>
            <w:tcW w:w="2718" w:type="dxa"/>
          </w:tcPr>
          <w:p w:rsidR="00823A59" w:rsidRPr="00054A4F" w:rsidRDefault="00823A59" w:rsidP="00054A4F">
            <w:pPr>
              <w:spacing w:after="0" w:line="240" w:lineRule="auto"/>
            </w:pPr>
          </w:p>
        </w:tc>
      </w:tr>
      <w:tr w:rsidR="00823A59" w:rsidRPr="00054A4F" w:rsidTr="00054A4F">
        <w:tc>
          <w:tcPr>
            <w:tcW w:w="3438" w:type="dxa"/>
          </w:tcPr>
          <w:p w:rsidR="00823A59" w:rsidRPr="00054A4F" w:rsidRDefault="00823A59" w:rsidP="00054A4F">
            <w:pPr>
              <w:spacing w:after="0" w:line="240" w:lineRule="auto"/>
            </w:pPr>
            <w:r w:rsidRPr="00054A4F">
              <w:t>4.</w:t>
            </w:r>
          </w:p>
        </w:tc>
        <w:tc>
          <w:tcPr>
            <w:tcW w:w="3420" w:type="dxa"/>
          </w:tcPr>
          <w:p w:rsidR="00823A59" w:rsidRPr="00054A4F" w:rsidRDefault="00823A59" w:rsidP="00054A4F">
            <w:pPr>
              <w:spacing w:after="0" w:line="240" w:lineRule="auto"/>
            </w:pPr>
          </w:p>
        </w:tc>
        <w:tc>
          <w:tcPr>
            <w:tcW w:w="2718" w:type="dxa"/>
          </w:tcPr>
          <w:p w:rsidR="00823A59" w:rsidRPr="00054A4F" w:rsidRDefault="00823A59" w:rsidP="00054A4F">
            <w:pPr>
              <w:spacing w:after="0" w:line="240" w:lineRule="auto"/>
            </w:pPr>
          </w:p>
        </w:tc>
      </w:tr>
      <w:tr w:rsidR="00823A59" w:rsidRPr="00054A4F" w:rsidTr="00054A4F">
        <w:tc>
          <w:tcPr>
            <w:tcW w:w="3438" w:type="dxa"/>
          </w:tcPr>
          <w:p w:rsidR="00823A59" w:rsidRPr="00054A4F" w:rsidRDefault="00823A59" w:rsidP="00054A4F">
            <w:pPr>
              <w:spacing w:after="0" w:line="240" w:lineRule="auto"/>
            </w:pPr>
            <w:r w:rsidRPr="00054A4F">
              <w:t>5.</w:t>
            </w:r>
          </w:p>
        </w:tc>
        <w:tc>
          <w:tcPr>
            <w:tcW w:w="3420" w:type="dxa"/>
          </w:tcPr>
          <w:p w:rsidR="00823A59" w:rsidRPr="00054A4F" w:rsidRDefault="00823A59" w:rsidP="00054A4F">
            <w:pPr>
              <w:spacing w:after="0" w:line="240" w:lineRule="auto"/>
            </w:pPr>
          </w:p>
        </w:tc>
        <w:tc>
          <w:tcPr>
            <w:tcW w:w="2718" w:type="dxa"/>
          </w:tcPr>
          <w:p w:rsidR="00823A59" w:rsidRPr="00054A4F" w:rsidRDefault="00823A59" w:rsidP="00054A4F">
            <w:pPr>
              <w:spacing w:after="0" w:line="240" w:lineRule="auto"/>
            </w:pPr>
          </w:p>
        </w:tc>
      </w:tr>
      <w:tr w:rsidR="00823A59" w:rsidRPr="00054A4F" w:rsidTr="00054A4F">
        <w:tc>
          <w:tcPr>
            <w:tcW w:w="3438" w:type="dxa"/>
          </w:tcPr>
          <w:p w:rsidR="00823A59" w:rsidRPr="00054A4F" w:rsidRDefault="00823A59" w:rsidP="00054A4F">
            <w:pPr>
              <w:spacing w:after="0" w:line="240" w:lineRule="auto"/>
            </w:pPr>
            <w:r w:rsidRPr="00054A4F">
              <w:t>6.</w:t>
            </w:r>
          </w:p>
        </w:tc>
        <w:tc>
          <w:tcPr>
            <w:tcW w:w="3420" w:type="dxa"/>
          </w:tcPr>
          <w:p w:rsidR="00823A59" w:rsidRPr="00054A4F" w:rsidRDefault="00823A59" w:rsidP="00054A4F">
            <w:pPr>
              <w:spacing w:after="0" w:line="240" w:lineRule="auto"/>
            </w:pPr>
          </w:p>
        </w:tc>
        <w:tc>
          <w:tcPr>
            <w:tcW w:w="2718" w:type="dxa"/>
          </w:tcPr>
          <w:p w:rsidR="00823A59" w:rsidRPr="00054A4F" w:rsidRDefault="00823A59" w:rsidP="00054A4F">
            <w:pPr>
              <w:spacing w:after="0" w:line="240" w:lineRule="auto"/>
            </w:pPr>
          </w:p>
        </w:tc>
      </w:tr>
      <w:tr w:rsidR="00823A59" w:rsidRPr="00054A4F" w:rsidTr="00054A4F">
        <w:tc>
          <w:tcPr>
            <w:tcW w:w="3438" w:type="dxa"/>
          </w:tcPr>
          <w:p w:rsidR="00823A59" w:rsidRPr="00054A4F" w:rsidRDefault="00823A59" w:rsidP="00054A4F">
            <w:pPr>
              <w:spacing w:after="0" w:line="240" w:lineRule="auto"/>
            </w:pPr>
            <w:r w:rsidRPr="00054A4F">
              <w:t>7.</w:t>
            </w:r>
          </w:p>
        </w:tc>
        <w:tc>
          <w:tcPr>
            <w:tcW w:w="3420" w:type="dxa"/>
          </w:tcPr>
          <w:p w:rsidR="00823A59" w:rsidRPr="00054A4F" w:rsidRDefault="00823A59" w:rsidP="00054A4F">
            <w:pPr>
              <w:spacing w:after="0" w:line="240" w:lineRule="auto"/>
            </w:pPr>
          </w:p>
        </w:tc>
        <w:tc>
          <w:tcPr>
            <w:tcW w:w="2718" w:type="dxa"/>
          </w:tcPr>
          <w:p w:rsidR="00823A59" w:rsidRPr="00054A4F" w:rsidRDefault="00823A59" w:rsidP="00054A4F">
            <w:pPr>
              <w:spacing w:after="0" w:line="240" w:lineRule="auto"/>
            </w:pPr>
          </w:p>
        </w:tc>
      </w:tr>
      <w:tr w:rsidR="00823A59" w:rsidRPr="00054A4F" w:rsidTr="00054A4F">
        <w:tc>
          <w:tcPr>
            <w:tcW w:w="3438" w:type="dxa"/>
          </w:tcPr>
          <w:p w:rsidR="00823A59" w:rsidRPr="00054A4F" w:rsidRDefault="00823A59" w:rsidP="00054A4F">
            <w:pPr>
              <w:spacing w:after="0" w:line="240" w:lineRule="auto"/>
            </w:pPr>
            <w:r w:rsidRPr="00054A4F">
              <w:t>8.</w:t>
            </w:r>
          </w:p>
        </w:tc>
        <w:tc>
          <w:tcPr>
            <w:tcW w:w="3420" w:type="dxa"/>
          </w:tcPr>
          <w:p w:rsidR="00823A59" w:rsidRPr="00054A4F" w:rsidRDefault="00823A59" w:rsidP="00054A4F">
            <w:pPr>
              <w:spacing w:after="0" w:line="240" w:lineRule="auto"/>
            </w:pPr>
          </w:p>
        </w:tc>
        <w:tc>
          <w:tcPr>
            <w:tcW w:w="2718" w:type="dxa"/>
          </w:tcPr>
          <w:p w:rsidR="00823A59" w:rsidRPr="00054A4F" w:rsidRDefault="00823A59" w:rsidP="00054A4F">
            <w:pPr>
              <w:spacing w:after="0" w:line="240" w:lineRule="auto"/>
            </w:pPr>
          </w:p>
        </w:tc>
      </w:tr>
    </w:tbl>
    <w:p w:rsidR="00823A59" w:rsidRDefault="00823A59"/>
    <w:p w:rsidR="00823A59" w:rsidRDefault="00823A59" w:rsidP="000066E8">
      <w:pPr>
        <w:pBdr>
          <w:top w:val="single" w:sz="4" w:space="1" w:color="auto"/>
          <w:left w:val="single" w:sz="4" w:space="4" w:color="auto"/>
          <w:bottom w:val="single" w:sz="4" w:space="1" w:color="auto"/>
          <w:right w:val="single" w:sz="4" w:space="4" w:color="auto"/>
        </w:pBdr>
      </w:pPr>
      <w:r>
        <w:t>Cool, now try to find this piece of history on the website.  Explain how accounting and Al Capone have a connection…what year was he busted?</w:t>
      </w:r>
    </w:p>
    <w:p w:rsidR="00823A59" w:rsidRDefault="00823A59" w:rsidP="001E294F">
      <w:r>
        <w:t xml:space="preserve">Okay, back to business…go back to the main page; </w:t>
      </w:r>
      <w:r w:rsidR="008545D1">
        <w:t>and the “Why Accounting?” Link.  Y</w:t>
      </w:r>
      <w:r>
        <w:t xml:space="preserve">ou can click in the upper, left-hand corner, </w:t>
      </w:r>
      <w:r w:rsidRPr="000066E8">
        <w:rPr>
          <w:b/>
        </w:rPr>
        <w:t>Start Here Go Places</w:t>
      </w:r>
      <w:r w:rsidR="008545D1">
        <w:rPr>
          <w:b/>
        </w:rPr>
        <w:t xml:space="preserve"> first</w:t>
      </w:r>
      <w:r w:rsidR="008545D1">
        <w:t>.  Now, go to CPA Skills toward the top of the list under “Sections”</w:t>
      </w:r>
      <w:r>
        <w:t>.  List each skill and give a summary of each, including what you can do to work on the skills.</w:t>
      </w:r>
    </w:p>
    <w:p w:rsidR="00823A59" w:rsidRDefault="00823A59" w:rsidP="000066E8">
      <w:pPr>
        <w:pBdr>
          <w:top w:val="single" w:sz="4" w:space="1" w:color="auto"/>
          <w:left w:val="single" w:sz="4" w:space="4" w:color="auto"/>
          <w:bottom w:val="single" w:sz="4" w:space="1" w:color="auto"/>
          <w:right w:val="single" w:sz="4" w:space="4" w:color="auto"/>
        </w:pBdr>
      </w:pPr>
      <w:r>
        <w:t>Skill #1_______________________________________________________________________________</w:t>
      </w:r>
    </w:p>
    <w:p w:rsidR="00823A59" w:rsidRDefault="00823A59" w:rsidP="000066E8">
      <w:pPr>
        <w:pBdr>
          <w:top w:val="single" w:sz="4" w:space="1" w:color="auto"/>
          <w:left w:val="single" w:sz="4" w:space="4" w:color="auto"/>
          <w:bottom w:val="single" w:sz="4" w:space="1" w:color="auto"/>
          <w:right w:val="single" w:sz="4" w:space="4" w:color="auto"/>
        </w:pBdr>
      </w:pPr>
      <w:r>
        <w:t>Summary:</w:t>
      </w: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1E294F"/>
    <w:p w:rsidR="00823A59" w:rsidRDefault="00823A59" w:rsidP="000066E8">
      <w:pPr>
        <w:pBdr>
          <w:top w:val="single" w:sz="4" w:space="1" w:color="auto"/>
          <w:left w:val="single" w:sz="4" w:space="4" w:color="auto"/>
          <w:bottom w:val="single" w:sz="4" w:space="1" w:color="auto"/>
          <w:right w:val="single" w:sz="4" w:space="4" w:color="auto"/>
        </w:pBdr>
      </w:pPr>
      <w:r>
        <w:br/>
        <w:t>Skill #2_______________________________________________________________________________</w:t>
      </w:r>
    </w:p>
    <w:p w:rsidR="00823A59" w:rsidRDefault="00823A59" w:rsidP="000066E8">
      <w:pPr>
        <w:pBdr>
          <w:top w:val="single" w:sz="4" w:space="1" w:color="auto"/>
          <w:left w:val="single" w:sz="4" w:space="4" w:color="auto"/>
          <w:bottom w:val="single" w:sz="4" w:space="1" w:color="auto"/>
          <w:right w:val="single" w:sz="4" w:space="4" w:color="auto"/>
        </w:pBdr>
      </w:pPr>
      <w:r>
        <w:t>Summary:</w:t>
      </w: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0066E8">
      <w:pPr>
        <w:pBdr>
          <w:top w:val="single" w:sz="4" w:space="1" w:color="auto"/>
          <w:left w:val="single" w:sz="4" w:space="4" w:color="auto"/>
          <w:bottom w:val="single" w:sz="4" w:space="1" w:color="auto"/>
          <w:right w:val="single" w:sz="4" w:space="4" w:color="auto"/>
        </w:pBdr>
      </w:pPr>
      <w:r>
        <w:lastRenderedPageBreak/>
        <w:t>Skill #3_______________________________________________________________________________</w:t>
      </w:r>
    </w:p>
    <w:p w:rsidR="00823A59" w:rsidRDefault="00823A59" w:rsidP="000066E8">
      <w:pPr>
        <w:pBdr>
          <w:top w:val="single" w:sz="4" w:space="1" w:color="auto"/>
          <w:left w:val="single" w:sz="4" w:space="4" w:color="auto"/>
          <w:bottom w:val="single" w:sz="4" w:space="1" w:color="auto"/>
          <w:right w:val="single" w:sz="4" w:space="4" w:color="auto"/>
        </w:pBdr>
      </w:pPr>
      <w:r>
        <w:t>Summary:</w:t>
      </w: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1E294F"/>
    <w:p w:rsidR="00823A59" w:rsidRDefault="00823A59" w:rsidP="000066E8">
      <w:pPr>
        <w:pBdr>
          <w:top w:val="single" w:sz="4" w:space="1" w:color="auto"/>
          <w:left w:val="single" w:sz="4" w:space="4" w:color="auto"/>
          <w:bottom w:val="single" w:sz="4" w:space="1" w:color="auto"/>
          <w:right w:val="single" w:sz="4" w:space="4" w:color="auto"/>
        </w:pBdr>
      </w:pPr>
      <w:r>
        <w:t>Skill #4_______________________________________________________________________________</w:t>
      </w:r>
    </w:p>
    <w:p w:rsidR="00823A59" w:rsidRDefault="00823A59" w:rsidP="000066E8">
      <w:pPr>
        <w:pBdr>
          <w:top w:val="single" w:sz="4" w:space="1" w:color="auto"/>
          <w:left w:val="single" w:sz="4" w:space="4" w:color="auto"/>
          <w:bottom w:val="single" w:sz="4" w:space="1" w:color="auto"/>
          <w:right w:val="single" w:sz="4" w:space="4" w:color="auto"/>
        </w:pBdr>
      </w:pPr>
      <w:r>
        <w:t>Summary:</w:t>
      </w: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1E294F"/>
    <w:p w:rsidR="00823A59" w:rsidRDefault="00823A59" w:rsidP="000066E8">
      <w:pPr>
        <w:pBdr>
          <w:top w:val="single" w:sz="4" w:space="1" w:color="auto"/>
          <w:left w:val="single" w:sz="4" w:space="4" w:color="auto"/>
          <w:bottom w:val="single" w:sz="4" w:space="1" w:color="auto"/>
          <w:right w:val="single" w:sz="4" w:space="4" w:color="auto"/>
        </w:pBdr>
      </w:pPr>
      <w:r>
        <w:t xml:space="preserve">Good job, now click the link on the left-hand side for the </w:t>
      </w:r>
      <w:r w:rsidRPr="000066E8">
        <w:rPr>
          <w:b/>
        </w:rPr>
        <w:t>Start Here Magazine</w:t>
      </w:r>
      <w:r>
        <w:t>…look to the upper right, which two countries are in the lead in terms of travel for CPAs?</w:t>
      </w:r>
    </w:p>
    <w:p w:rsidR="00823A59" w:rsidRDefault="00823A59" w:rsidP="000066E8">
      <w:pPr>
        <w:pBdr>
          <w:top w:val="single" w:sz="4" w:space="1" w:color="auto"/>
          <w:left w:val="single" w:sz="4" w:space="4" w:color="auto"/>
          <w:bottom w:val="single" w:sz="4" w:space="1" w:color="auto"/>
          <w:right w:val="single" w:sz="4" w:space="4" w:color="auto"/>
        </w:pBdr>
      </w:pPr>
    </w:p>
    <w:p w:rsidR="00823A59" w:rsidRDefault="00823A59" w:rsidP="001E294F"/>
    <w:p w:rsidR="00823A59" w:rsidRDefault="00823A59" w:rsidP="000066E8">
      <w:pPr>
        <w:pBdr>
          <w:top w:val="single" w:sz="4" w:space="1" w:color="auto"/>
          <w:left w:val="single" w:sz="4" w:space="1" w:color="auto"/>
          <w:bottom w:val="single" w:sz="4" w:space="1" w:color="auto"/>
          <w:right w:val="single" w:sz="4" w:space="1" w:color="auto"/>
        </w:pBdr>
      </w:pPr>
      <w:r>
        <w:t xml:space="preserve">Okay, back to “Home” by clicking, “Start Here Go Places” again.  </w:t>
      </w:r>
      <w:r w:rsidR="008545D1">
        <w:t xml:space="preserve">Then, click, “What’s Next?” </w:t>
      </w:r>
      <w:r>
        <w:t>Now click the College Checklist.</w:t>
      </w:r>
    </w:p>
    <w:p w:rsidR="00823A59" w:rsidRDefault="00823A59" w:rsidP="000066E8">
      <w:pPr>
        <w:pBdr>
          <w:top w:val="single" w:sz="4" w:space="1" w:color="auto"/>
          <w:left w:val="single" w:sz="4" w:space="1" w:color="auto"/>
          <w:bottom w:val="single" w:sz="4" w:space="1" w:color="auto"/>
          <w:right w:val="single" w:sz="4" w:space="1" w:color="auto"/>
        </w:pBdr>
      </w:pPr>
      <w:r>
        <w:t xml:space="preserve">If you are a </w:t>
      </w:r>
      <w:r w:rsidRPr="00D76687">
        <w:rPr>
          <w:b/>
        </w:rPr>
        <w:t>Junior, Sophomore, or Freshmen,</w:t>
      </w:r>
      <w:r>
        <w:t xml:space="preserve"> check out the Junior checklist for Aug. to Nov.</w:t>
      </w:r>
    </w:p>
    <w:p w:rsidR="00823A59" w:rsidRDefault="00823A59" w:rsidP="000066E8">
      <w:pPr>
        <w:pBdr>
          <w:top w:val="single" w:sz="4" w:space="1" w:color="auto"/>
          <w:left w:val="single" w:sz="4" w:space="1" w:color="auto"/>
          <w:bottom w:val="single" w:sz="4" w:space="1" w:color="auto"/>
          <w:right w:val="single" w:sz="4" w:space="1" w:color="auto"/>
        </w:pBdr>
      </w:pPr>
      <w:r>
        <w:t xml:space="preserve">If you are a </w:t>
      </w:r>
      <w:r w:rsidRPr="00D76687">
        <w:rPr>
          <w:b/>
        </w:rPr>
        <w:t>Senior</w:t>
      </w:r>
      <w:r>
        <w:t>, be sure to check under the Senior section for Aug. to Nov.</w:t>
      </w:r>
    </w:p>
    <w:p w:rsidR="00823A59" w:rsidRDefault="00823A59" w:rsidP="000066E8">
      <w:pPr>
        <w:pBdr>
          <w:top w:val="single" w:sz="4" w:space="1" w:color="auto"/>
          <w:left w:val="single" w:sz="4" w:space="1" w:color="auto"/>
          <w:bottom w:val="single" w:sz="4" w:space="1" w:color="auto"/>
          <w:right w:val="single" w:sz="4" w:space="1" w:color="auto"/>
        </w:pBdr>
      </w:pPr>
      <w:r>
        <w:t>Please list what you should tackle for Aug. – Nov. on your college checklist. For your own benefit, you can click on the arrows to expand to see explanations of each step.  Pretty valuable info.!</w:t>
      </w:r>
    </w:p>
    <w:p w:rsidR="00823A59" w:rsidRDefault="00823A59" w:rsidP="000066E8">
      <w:pPr>
        <w:pBdr>
          <w:top w:val="single" w:sz="4" w:space="1" w:color="auto"/>
          <w:left w:val="single" w:sz="4" w:space="1" w:color="auto"/>
          <w:bottom w:val="single" w:sz="4" w:space="1" w:color="auto"/>
          <w:right w:val="single" w:sz="4" w:space="1" w:color="auto"/>
        </w:pBdr>
      </w:pPr>
    </w:p>
    <w:p w:rsidR="00823A59" w:rsidRDefault="00823A59" w:rsidP="000066E8">
      <w:pPr>
        <w:pBdr>
          <w:top w:val="single" w:sz="4" w:space="1" w:color="auto"/>
          <w:left w:val="single" w:sz="4" w:space="1" w:color="auto"/>
          <w:bottom w:val="single" w:sz="4" w:space="1" w:color="auto"/>
          <w:right w:val="single" w:sz="4" w:space="1" w:color="auto"/>
        </w:pBdr>
      </w:pPr>
    </w:p>
    <w:p w:rsidR="00823A59" w:rsidRDefault="00823A59" w:rsidP="000066E8">
      <w:pPr>
        <w:pBdr>
          <w:top w:val="single" w:sz="4" w:space="1" w:color="auto"/>
          <w:left w:val="single" w:sz="4" w:space="1" w:color="auto"/>
          <w:bottom w:val="single" w:sz="4" w:space="1" w:color="auto"/>
          <w:right w:val="single" w:sz="4" w:space="1" w:color="auto"/>
        </w:pBdr>
      </w:pPr>
    </w:p>
    <w:p w:rsidR="00823A59" w:rsidRDefault="00823A59" w:rsidP="000066E8">
      <w:pPr>
        <w:pBdr>
          <w:top w:val="single" w:sz="4" w:space="1" w:color="auto"/>
          <w:left w:val="single" w:sz="4" w:space="1" w:color="auto"/>
          <w:bottom w:val="single" w:sz="4" w:space="1" w:color="auto"/>
          <w:right w:val="single" w:sz="4" w:space="1" w:color="auto"/>
        </w:pBdr>
      </w:pPr>
    </w:p>
    <w:p w:rsidR="00823A59" w:rsidRDefault="00823A59" w:rsidP="000066E8">
      <w:pPr>
        <w:pBdr>
          <w:top w:val="single" w:sz="4" w:space="1" w:color="auto"/>
          <w:left w:val="single" w:sz="4" w:space="1" w:color="auto"/>
          <w:bottom w:val="single" w:sz="4" w:space="1" w:color="auto"/>
          <w:right w:val="single" w:sz="4" w:space="1" w:color="auto"/>
        </w:pBdr>
      </w:pPr>
      <w:r>
        <w:t>Ta da!  You are done!  Turn in please.</w:t>
      </w:r>
    </w:p>
    <w:sectPr w:rsidR="00823A59" w:rsidSect="000066E8">
      <w:headerReference w:type="default" r:id="rId8"/>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59" w:rsidRDefault="00823A59" w:rsidP="001E294F">
      <w:pPr>
        <w:spacing w:after="0" w:line="240" w:lineRule="auto"/>
      </w:pPr>
      <w:r>
        <w:separator/>
      </w:r>
    </w:p>
  </w:endnote>
  <w:endnote w:type="continuationSeparator" w:id="0">
    <w:p w:rsidR="00823A59" w:rsidRDefault="00823A59" w:rsidP="001E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59" w:rsidRDefault="00823A59" w:rsidP="001E294F">
      <w:pPr>
        <w:spacing w:after="0" w:line="240" w:lineRule="auto"/>
      </w:pPr>
      <w:r>
        <w:separator/>
      </w:r>
    </w:p>
  </w:footnote>
  <w:footnote w:type="continuationSeparator" w:id="0">
    <w:p w:rsidR="00823A59" w:rsidRDefault="00823A59" w:rsidP="001E2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59" w:rsidRDefault="00823A59">
    <w:pPr>
      <w:pStyle w:val="Header"/>
      <w:pBdr>
        <w:bottom w:val="thickThinSmallGap" w:sz="24" w:space="1" w:color="622423"/>
      </w:pBdr>
      <w:jc w:val="center"/>
      <w:rPr>
        <w:rFonts w:ascii="Cambria" w:hAnsi="Cambria"/>
        <w:sz w:val="32"/>
        <w:szCs w:val="32"/>
      </w:rPr>
    </w:pPr>
    <w:r>
      <w:rPr>
        <w:rFonts w:ascii="Cambria" w:hAnsi="Cambria"/>
        <w:sz w:val="32"/>
        <w:szCs w:val="32"/>
      </w:rPr>
      <w:t>Name:</w:t>
    </w:r>
  </w:p>
  <w:p w:rsidR="00823A59" w:rsidRDefault="00823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8B"/>
    <w:rsid w:val="000066E8"/>
    <w:rsid w:val="00054A4F"/>
    <w:rsid w:val="001D118B"/>
    <w:rsid w:val="001D426F"/>
    <w:rsid w:val="001E294F"/>
    <w:rsid w:val="002427B0"/>
    <w:rsid w:val="00823A59"/>
    <w:rsid w:val="008545D1"/>
    <w:rsid w:val="008B052A"/>
    <w:rsid w:val="008D5971"/>
    <w:rsid w:val="00AA179D"/>
    <w:rsid w:val="00D76687"/>
    <w:rsid w:val="00ED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118B"/>
    <w:rPr>
      <w:rFonts w:cs="Times New Roman"/>
      <w:color w:val="0000FF"/>
      <w:u w:val="single"/>
    </w:rPr>
  </w:style>
  <w:style w:type="table" w:styleId="TableGrid">
    <w:name w:val="Table Grid"/>
    <w:basedOn w:val="TableNormal"/>
    <w:uiPriority w:val="99"/>
    <w:rsid w:val="001D1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29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294F"/>
    <w:rPr>
      <w:rFonts w:cs="Times New Roman"/>
    </w:rPr>
  </w:style>
  <w:style w:type="paragraph" w:styleId="Footer">
    <w:name w:val="footer"/>
    <w:basedOn w:val="Normal"/>
    <w:link w:val="FooterChar"/>
    <w:uiPriority w:val="99"/>
    <w:rsid w:val="001E29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294F"/>
    <w:rPr>
      <w:rFonts w:cs="Times New Roman"/>
    </w:rPr>
  </w:style>
  <w:style w:type="paragraph" w:styleId="BalloonText">
    <w:name w:val="Balloon Text"/>
    <w:basedOn w:val="Normal"/>
    <w:link w:val="BalloonTextChar"/>
    <w:uiPriority w:val="99"/>
    <w:semiHidden/>
    <w:rsid w:val="001E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294F"/>
    <w:rPr>
      <w:rFonts w:ascii="Tahoma" w:hAnsi="Tahoma" w:cs="Tahoma"/>
      <w:sz w:val="16"/>
      <w:szCs w:val="16"/>
    </w:rPr>
  </w:style>
  <w:style w:type="character" w:styleId="FollowedHyperlink">
    <w:name w:val="FollowedHyperlink"/>
    <w:basedOn w:val="DefaultParagraphFont"/>
    <w:uiPriority w:val="99"/>
    <w:semiHidden/>
    <w:unhideWhenUsed/>
    <w:rsid w:val="008545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118B"/>
    <w:rPr>
      <w:rFonts w:cs="Times New Roman"/>
      <w:color w:val="0000FF"/>
      <w:u w:val="single"/>
    </w:rPr>
  </w:style>
  <w:style w:type="table" w:styleId="TableGrid">
    <w:name w:val="Table Grid"/>
    <w:basedOn w:val="TableNormal"/>
    <w:uiPriority w:val="99"/>
    <w:rsid w:val="001D1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E29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294F"/>
    <w:rPr>
      <w:rFonts w:cs="Times New Roman"/>
    </w:rPr>
  </w:style>
  <w:style w:type="paragraph" w:styleId="Footer">
    <w:name w:val="footer"/>
    <w:basedOn w:val="Normal"/>
    <w:link w:val="FooterChar"/>
    <w:uiPriority w:val="99"/>
    <w:rsid w:val="001E29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294F"/>
    <w:rPr>
      <w:rFonts w:cs="Times New Roman"/>
    </w:rPr>
  </w:style>
  <w:style w:type="paragraph" w:styleId="BalloonText">
    <w:name w:val="Balloon Text"/>
    <w:basedOn w:val="Normal"/>
    <w:link w:val="BalloonTextChar"/>
    <w:uiPriority w:val="99"/>
    <w:semiHidden/>
    <w:rsid w:val="001E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294F"/>
    <w:rPr>
      <w:rFonts w:ascii="Tahoma" w:hAnsi="Tahoma" w:cs="Tahoma"/>
      <w:sz w:val="16"/>
      <w:szCs w:val="16"/>
    </w:rPr>
  </w:style>
  <w:style w:type="character" w:styleId="FollowedHyperlink">
    <w:name w:val="FollowedHyperlink"/>
    <w:basedOn w:val="DefaultParagraphFont"/>
    <w:uiPriority w:val="99"/>
    <w:semiHidden/>
    <w:unhideWhenUsed/>
    <w:rsid w:val="00854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rtheregoplac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Portage Public Schools</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Meyer, Amy</dc:creator>
  <cp:lastModifiedBy>Portage Public Schools</cp:lastModifiedBy>
  <cp:revision>2</cp:revision>
  <cp:lastPrinted>2013-09-14T18:37:00Z</cp:lastPrinted>
  <dcterms:created xsi:type="dcterms:W3CDTF">2013-09-14T18:37:00Z</dcterms:created>
  <dcterms:modified xsi:type="dcterms:W3CDTF">2013-09-14T18:37:00Z</dcterms:modified>
</cp:coreProperties>
</file>